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 w:ascii="Times New Roman" w:hAnsi="Times New Roman"/>
          <w:b/>
          <w:sz w:val="26"/>
          <w:szCs w:val="26"/>
        </w:rPr>
        <w:t xml:space="preserve">Обобщение практики осуществления регионального государственного контроля в области долевого строительства многоквартирных домов и иных объектов недвижимости и за деятельностью жилищно-строительного кооператива, связанной с привлечением средств членов кооператива для строительства многоквартирного дома за 2025 год.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</w:rPr>
        <w:t>В городе Набережные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Челны в течение 2025 года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25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застройщиков осуществляли строительство 7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6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объектов</w:t>
      </w:r>
      <w:r>
        <w:rPr>
          <w:rFonts w:cs="Times New Roman" w:ascii="Times New Roman" w:hAnsi="Times New Roman"/>
          <w:bCs/>
          <w:sz w:val="26"/>
          <w:szCs w:val="26"/>
        </w:rPr>
        <w:t xml:space="preserve"> в соответствии с Федеральным законом № 214-ФЗ «Об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Федерации».</w:t>
      </w:r>
    </w:p>
    <w:p>
      <w:pPr>
        <w:pStyle w:val="Normal"/>
        <w:spacing w:lineRule="auto" w:line="240"/>
        <w:ind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</w:rPr>
        <w:t>В отношении подконтрольных лиц в 2025 году проведено 5</w:t>
      </w:r>
      <w:r>
        <w:rPr>
          <w:rFonts w:cs="Times New Roman" w:ascii="Times New Roman" w:hAnsi="Times New Roman"/>
          <w:bCs/>
          <w:sz w:val="26"/>
          <w:szCs w:val="26"/>
        </w:rPr>
        <w:t>69</w:t>
      </w:r>
      <w:r>
        <w:rPr>
          <w:rFonts w:cs="Times New Roman" w:ascii="Times New Roman" w:hAnsi="Times New Roman"/>
          <w:bCs/>
          <w:sz w:val="26"/>
          <w:szCs w:val="26"/>
        </w:rPr>
        <w:t xml:space="preserve"> контрольно-надзорное мероприятие:</w:t>
      </w:r>
      <w:r>
        <w:rPr>
          <w:rFonts w:cs="Times New Roman" w:ascii="Times New Roman" w:hAnsi="Times New Roman"/>
          <w:b/>
          <w:bCs/>
          <w:sz w:val="26"/>
          <w:szCs w:val="26"/>
        </w:rPr>
        <w:t xml:space="preserve"> </w:t>
      </w:r>
    </w:p>
    <w:tbl>
      <w:tblPr>
        <w:tblStyle w:val="a3"/>
        <w:tblW w:w="93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17"/>
        <w:gridCol w:w="6095"/>
        <w:gridCol w:w="2839"/>
      </w:tblGrid>
      <w:tr>
        <w:trPr/>
        <w:tc>
          <w:tcPr>
            <w:tcW w:w="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60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6"/>
                <w:szCs w:val="26"/>
                <w:lang w:val="ru-RU" w:eastAsia="en-US" w:bidi="ar-SA"/>
              </w:rPr>
              <w:t>Контрольно-надзорные мероприятия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28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6"/>
                <w:szCs w:val="26"/>
                <w:lang w:val="ru-RU" w:eastAsia="en-US" w:bidi="ar-SA"/>
              </w:rPr>
              <w:t>количество</w:t>
            </w:r>
          </w:p>
        </w:tc>
      </w:tr>
      <w:tr>
        <w:trPr>
          <w:trHeight w:val="862" w:hRule="atLeast"/>
        </w:trPr>
        <w:tc>
          <w:tcPr>
            <w:tcW w:w="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1.</w:t>
            </w:r>
          </w:p>
        </w:tc>
        <w:tc>
          <w:tcPr>
            <w:tcW w:w="60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Наблюдение за соблюдением обязательных требований в части раскрытия застройщиками и ЖСК информации в ЕИСЖС</w:t>
            </w:r>
          </w:p>
        </w:tc>
        <w:tc>
          <w:tcPr>
            <w:tcW w:w="28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28</w:t>
            </w: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2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в т.ч. с выявленными нарушениями - 4</w:t>
            </w: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en-US" w:eastAsia="en-US" w:bidi="ar-SA"/>
              </w:rPr>
              <w:t>2.</w:t>
            </w:r>
          </w:p>
        </w:tc>
        <w:tc>
          <w:tcPr>
            <w:tcW w:w="60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Проверка первых проектных деклараций, размещенных застройщиками в ЕИСЖС</w:t>
            </w:r>
          </w:p>
        </w:tc>
        <w:tc>
          <w:tcPr>
            <w:tcW w:w="28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15</w:t>
            </w:r>
          </w:p>
        </w:tc>
      </w:tr>
      <w:tr>
        <w:trPr>
          <w:trHeight w:val="224" w:hRule="atLeast"/>
        </w:trPr>
        <w:tc>
          <w:tcPr>
            <w:tcW w:w="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3.</w:t>
            </w:r>
          </w:p>
        </w:tc>
        <w:tc>
          <w:tcPr>
            <w:tcW w:w="60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Консультирование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8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en-US" w:eastAsia="en-US" w:bidi="ar-SA"/>
              </w:rPr>
              <w:t>272</w:t>
            </w:r>
          </w:p>
        </w:tc>
      </w:tr>
      <w:tr>
        <w:trPr>
          <w:trHeight w:val="172" w:hRule="atLeast"/>
        </w:trPr>
        <w:tc>
          <w:tcPr>
            <w:tcW w:w="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4.</w:t>
            </w:r>
          </w:p>
        </w:tc>
        <w:tc>
          <w:tcPr>
            <w:tcW w:w="60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Профилактические визиты</w:t>
            </w:r>
          </w:p>
        </w:tc>
        <w:tc>
          <w:tcPr>
            <w:tcW w:w="28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en-US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</w:tr>
      <w:tr>
        <w:trPr>
          <w:trHeight w:val="1761" w:hRule="atLeast"/>
        </w:trPr>
        <w:tc>
          <w:tcPr>
            <w:tcW w:w="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5.</w:t>
            </w:r>
          </w:p>
        </w:tc>
        <w:tc>
          <w:tcPr>
            <w:tcW w:w="60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Внеплановые проверки</w:t>
            </w:r>
          </w:p>
        </w:tc>
        <w:tc>
          <w:tcPr>
            <w:tcW w:w="28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0</w:t>
            </w:r>
          </w:p>
        </w:tc>
      </w:tr>
    </w:tbl>
    <w:p>
      <w:pPr>
        <w:pStyle w:val="Normal"/>
        <w:spacing w:lineRule="auto" w:line="24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b/>
          <w:sz w:val="26"/>
          <w:szCs w:val="26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>Меры принятые по пресечению и устранению выявленных нарушений:</w:t>
      </w:r>
    </w:p>
    <w:tbl>
      <w:tblPr>
        <w:tblStyle w:val="a3"/>
        <w:tblW w:w="951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18"/>
        <w:gridCol w:w="6095"/>
        <w:gridCol w:w="2997"/>
      </w:tblGrid>
      <w:tr>
        <w:trPr>
          <w:trHeight w:val="276" w:hRule="atLeast"/>
        </w:trPr>
        <w:tc>
          <w:tcPr>
            <w:tcW w:w="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60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6"/>
                <w:szCs w:val="26"/>
                <w:lang w:val="ru-RU" w:eastAsia="en-US" w:bidi="ar-SA"/>
              </w:rPr>
              <w:t>Меры по пресечению и устранению выявленных нарушений</w:t>
            </w:r>
          </w:p>
        </w:tc>
        <w:tc>
          <w:tcPr>
            <w:tcW w:w="299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</w:tr>
      <w:tr>
        <w:trPr>
          <w:trHeight w:val="276" w:hRule="atLeast"/>
        </w:trPr>
        <w:tc>
          <w:tcPr>
            <w:tcW w:w="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1.</w:t>
            </w:r>
          </w:p>
        </w:tc>
        <w:tc>
          <w:tcPr>
            <w:tcW w:w="60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Предписания</w:t>
            </w:r>
          </w:p>
        </w:tc>
        <w:tc>
          <w:tcPr>
            <w:tcW w:w="299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5</w:t>
            </w:r>
          </w:p>
        </w:tc>
      </w:tr>
      <w:tr>
        <w:trPr>
          <w:trHeight w:val="133" w:hRule="atLeast"/>
        </w:trPr>
        <w:tc>
          <w:tcPr>
            <w:tcW w:w="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2.</w:t>
            </w:r>
          </w:p>
        </w:tc>
        <w:tc>
          <w:tcPr>
            <w:tcW w:w="60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Предостережения</w:t>
            </w:r>
          </w:p>
        </w:tc>
        <w:tc>
          <w:tcPr>
            <w:tcW w:w="299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en-US" w:eastAsia="en-US" w:bidi="ar-SA"/>
              </w:rPr>
              <w:t>29</w:t>
            </w:r>
          </w:p>
        </w:tc>
      </w:tr>
      <w:tr>
        <w:trPr/>
        <w:tc>
          <w:tcPr>
            <w:tcW w:w="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3.</w:t>
            </w:r>
          </w:p>
        </w:tc>
        <w:tc>
          <w:tcPr>
            <w:tcW w:w="60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Количество юридических лиц, по которым направлены документы в прокуратуру</w:t>
            </w:r>
          </w:p>
        </w:tc>
        <w:tc>
          <w:tcPr>
            <w:tcW w:w="299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18</w:t>
            </w:r>
          </w:p>
        </w:tc>
      </w:tr>
      <w:tr>
        <w:trPr>
          <w:trHeight w:val="133" w:hRule="atLeast"/>
        </w:trPr>
        <w:tc>
          <w:tcPr>
            <w:tcW w:w="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4.</w:t>
            </w:r>
          </w:p>
        </w:tc>
        <w:tc>
          <w:tcPr>
            <w:tcW w:w="609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Принятие мер прокурорского реагирования по пресечению и устранению выявленных нарушений</w:t>
            </w:r>
          </w:p>
        </w:tc>
        <w:tc>
          <w:tcPr>
            <w:tcW w:w="299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ru-RU" w:eastAsia="en-US" w:bidi="ar-SA"/>
              </w:rPr>
              <w:t>В</w:t>
            </w: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en-US" w:eastAsia="en-US" w:bidi="ar-SA"/>
              </w:rPr>
              <w:t>несено 12 представлений;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6"/>
                <w:lang w:val="en-US" w:eastAsia="en-US" w:bidi="ar-SA"/>
              </w:rPr>
              <w:t>к дисциплинарной ответственности привлечены 10 должностных лиц</w:t>
            </w:r>
          </w:p>
        </w:tc>
      </w:tr>
    </w:tbl>
    <w:p>
      <w:pPr>
        <w:pStyle w:val="Normal"/>
        <w:widowControl w:val="false"/>
        <w:tabs>
          <w:tab w:val="clear" w:pos="708"/>
          <w:tab w:val="left" w:pos="1700" w:leader="none"/>
        </w:tabs>
        <w:spacing w:lineRule="auto" w:line="240" w:before="0" w:after="160"/>
        <w:ind w:firstLine="567" w:right="128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 w:ascii="Times New Roman" w:hAnsi="Times New Roman"/>
          <w:b/>
          <w:sz w:val="26"/>
          <w:szCs w:val="26"/>
        </w:rPr>
      </w:r>
      <w:bookmarkStart w:id="0" w:name="_GoBack"/>
      <w:bookmarkStart w:id="1" w:name="_GoBack"/>
      <w:bookmarkEnd w:id="1"/>
    </w:p>
    <w:sectPr>
      <w:type w:val="nextPage"/>
      <w:pgSz w:w="11906" w:h="16838"/>
      <w:pgMar w:left="1701" w:right="850" w:gutter="0" w:header="0" w:top="709" w:footer="0" w:bottom="28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636469"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1"/>
    <w:qFormat/>
    <w:rsid w:val="009a3638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636469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Style17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9a363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2DB2BB-6E44-415C-A36C-463E5D93C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Application>LibreOffice/24.8.4.2$Linux_X86_64 LibreOffice_project/480$Build-2</Application>
  <AppVersion>15.0000</AppVersion>
  <Pages>1</Pages>
  <Words>187</Words>
  <Characters>1301</Characters>
  <CharactersWithSpaces>1456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2023-06-20T14:08:00Z</dcterms:created>
  <dc:creator>Лилия Шакирова Анасовна</dc:creator>
  <dc:description/>
  <dc:language>ru-RU</dc:language>
  <cp:lastModifiedBy/>
  <cp:lastPrinted>2026-01-15T09:47:59Z</cp:lastPrinted>
  <dcterms:modified xsi:type="dcterms:W3CDTF">2026-01-15T13:42:01Z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