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footer1.xml" ContentType="application/vnd.openxmlformats-officedocument.wordprocessingml.footer+xml"/>
  <Override PartName="/word/_rels/document.xml.rels" ContentType="application/vnd.openxmlformats-package.relationships+xml"/>
  <Override PartName="/word/header2.xml" ContentType="application/vnd.openxmlformats-officedocument.wordprocessingml.header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/>
      </w:pPr>
      <w:r>
        <w:rPr>
          <w:b/>
          <w:color w:val="000000"/>
          <w:sz w:val="28"/>
          <w:szCs w:val="28"/>
          <w:shd w:fill="FFFFFF" w:val="clear"/>
        </w:rPr>
        <w:t>Яр Чаллы шәһәре муниципаль берәмлеге</w:t>
      </w:r>
    </w:p>
    <w:p>
      <w:pPr>
        <w:pStyle w:val="Normal"/>
        <w:jc w:val="center"/>
        <w:rPr/>
      </w:pPr>
      <w:r>
        <w:rPr>
          <w:b/>
          <w:color w:val="000000"/>
          <w:sz w:val="28"/>
          <w:szCs w:val="28"/>
          <w:shd w:fill="FFFFFF" w:val="clear"/>
        </w:rPr>
        <w:t>Башкарма комитеты</w:t>
      </w:r>
    </w:p>
    <w:p>
      <w:pPr>
        <w:pStyle w:val="Normal"/>
        <w:jc w:val="center"/>
        <w:rPr/>
      </w:pPr>
      <w:r>
        <w:rPr>
          <w:b/>
          <w:color w:val="000000"/>
          <w:sz w:val="28"/>
          <w:szCs w:val="28"/>
          <w:shd w:fill="FFFFFF" w:val="clear"/>
        </w:rPr>
        <w:t>карары</w:t>
      </w:r>
    </w:p>
    <w:p>
      <w:pPr>
        <w:pStyle w:val="Normal"/>
        <w:jc w:val="both"/>
        <w:rPr>
          <w:color w:val="000000"/>
          <w:sz w:val="28"/>
          <w:szCs w:val="28"/>
          <w:shd w:fill="FFFFFF" w:val="clear"/>
        </w:rPr>
      </w:pPr>
      <w:r>
        <w:rPr>
          <w:color w:val="000000"/>
          <w:sz w:val="28"/>
          <w:szCs w:val="28"/>
          <w:shd w:fill="FFFFFF" w:val="clear"/>
        </w:rPr>
      </w:r>
    </w:p>
    <w:p>
      <w:pPr>
        <w:pStyle w:val="Normal"/>
        <w:jc w:val="both"/>
        <w:rPr>
          <w:color w:val="000000"/>
          <w:sz w:val="28"/>
          <w:szCs w:val="28"/>
          <w:shd w:fill="FFFFFF" w:val="clear"/>
        </w:rPr>
      </w:pPr>
      <w:r>
        <w:rPr>
          <w:color w:val="000000"/>
          <w:sz w:val="28"/>
          <w:szCs w:val="28"/>
          <w:shd w:fill="FFFFFF" w:val="clear"/>
        </w:rPr>
      </w:r>
    </w:p>
    <w:p>
      <w:pPr>
        <w:pStyle w:val="Normal"/>
        <w:ind w:left="142" w:right="0" w:hanging="142"/>
        <w:jc w:val="both"/>
        <w:rPr/>
      </w:pPr>
      <w:r>
        <w:rPr>
          <w:b/>
          <w:color w:val="000000"/>
          <w:sz w:val="28"/>
          <w:szCs w:val="28"/>
          <w:shd w:fill="FFFFFF" w:val="clear"/>
        </w:rPr>
        <w:t>№</w:t>
      </w:r>
      <w:r>
        <w:rPr>
          <w:b/>
          <w:color w:val="000000"/>
          <w:sz w:val="28"/>
          <w:szCs w:val="28"/>
          <w:shd w:fill="FFFFFF" w:val="clear"/>
        </w:rPr>
        <w:t>5619</w:t>
      </w:r>
    </w:p>
    <w:p>
      <w:pPr>
        <w:pStyle w:val="Normal"/>
        <w:ind w:left="142" w:right="0" w:hanging="142"/>
        <w:jc w:val="both"/>
        <w:rPr/>
      </w:pPr>
      <w:r>
        <w:rPr>
          <w:b/>
          <w:color w:val="000000"/>
          <w:sz w:val="28"/>
          <w:szCs w:val="28"/>
          <w:shd w:fill="FFFFFF" w:val="clear"/>
          <w:lang w:val="tt-RU"/>
        </w:rPr>
        <w:t>05</w:t>
      </w:r>
      <w:r>
        <w:rPr>
          <w:b/>
          <w:color w:val="000000"/>
          <w:sz w:val="28"/>
          <w:szCs w:val="28"/>
          <w:shd w:fill="FFFFFF" w:val="clear"/>
          <w:lang w:val="tt-RU"/>
        </w:rPr>
        <w:t>.08.2025</w:t>
      </w:r>
    </w:p>
    <w:p>
      <w:pPr>
        <w:pStyle w:val="Normal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</w:r>
    </w:p>
    <w:p>
      <w:pPr>
        <w:pStyle w:val="Normal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</w:r>
    </w:p>
    <w:p>
      <w:pPr>
        <w:pStyle w:val="Normal"/>
        <w:tabs>
          <w:tab w:val="clear" w:pos="708"/>
          <w:tab w:val="left" w:pos="1985" w:leader="none"/>
        </w:tabs>
        <w:jc w:val="both"/>
        <w:rPr>
          <w:sz w:val="28"/>
          <w:szCs w:val="28"/>
          <w:lang w:val="tt-RU"/>
        </w:rPr>
      </w:pPr>
      <w:r>
        <w:rPr/>
      </w:r>
    </w:p>
    <w:p>
      <w:pPr>
        <w:pStyle w:val="Normal"/>
        <w:tabs>
          <w:tab w:val="clear" w:pos="708"/>
          <w:tab w:val="left" w:pos="1985" w:leader="none"/>
        </w:tabs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Яр Чаллы шәһәре муниципаль</w:t>
      </w:r>
    </w:p>
    <w:p>
      <w:pPr>
        <w:pStyle w:val="Normal"/>
        <w:tabs>
          <w:tab w:val="clear" w:pos="708"/>
          <w:tab w:val="left" w:pos="1985" w:leader="none"/>
        </w:tabs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берәмлегенең Үзәк районы </w:t>
      </w:r>
    </w:p>
    <w:p>
      <w:pPr>
        <w:pStyle w:val="Normal"/>
        <w:tabs>
          <w:tab w:val="clear" w:pos="708"/>
          <w:tab w:val="left" w:pos="1985" w:leader="none"/>
        </w:tabs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территориясен Сәнәгать-коммуналь </w:t>
      </w:r>
    </w:p>
    <w:p>
      <w:pPr>
        <w:pStyle w:val="Normal"/>
        <w:tabs>
          <w:tab w:val="clear" w:pos="708"/>
          <w:tab w:val="left" w:pos="1985" w:leader="none"/>
        </w:tabs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зонасының Резервный тыкрыгы буенча </w:t>
      </w:r>
    </w:p>
    <w:p>
      <w:pPr>
        <w:pStyle w:val="Normal"/>
        <w:tabs>
          <w:tab w:val="clear" w:pos="708"/>
          <w:tab w:val="left" w:pos="1985" w:leader="none"/>
        </w:tabs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межалау проектын раслау турында</w:t>
      </w:r>
    </w:p>
    <w:p>
      <w:pPr>
        <w:pStyle w:val="Normal"/>
        <w:jc w:val="both"/>
        <w:rPr>
          <w:b/>
          <w:bCs/>
          <w:i/>
          <w:i/>
          <w:sz w:val="28"/>
          <w:szCs w:val="28"/>
          <w:lang w:val="tt-RU"/>
        </w:rPr>
      </w:pPr>
      <w:r>
        <w:rPr>
          <w:b/>
          <w:bCs/>
          <w:i/>
          <w:sz w:val="28"/>
          <w:szCs w:val="28"/>
          <w:lang w:val="tt-RU"/>
        </w:rPr>
      </w:r>
    </w:p>
    <w:p>
      <w:pPr>
        <w:pStyle w:val="Normal"/>
        <w:jc w:val="both"/>
        <w:rPr>
          <w:b/>
          <w:bCs/>
          <w:i/>
          <w:i/>
          <w:sz w:val="28"/>
          <w:szCs w:val="28"/>
          <w:lang w:val="tt-RU"/>
        </w:rPr>
      </w:pPr>
      <w:r>
        <w:rPr>
          <w:b/>
          <w:bCs/>
          <w:i/>
          <w:sz w:val="28"/>
          <w:szCs w:val="28"/>
          <w:lang w:val="tt-RU"/>
        </w:rPr>
      </w:r>
    </w:p>
    <w:p>
      <w:pPr>
        <w:pStyle w:val="Normal"/>
        <w:ind w:left="0" w:right="0" w:firstLine="709"/>
        <w:jc w:val="both"/>
        <w:rPr/>
      </w:pPr>
      <w:r>
        <w:rPr>
          <w:bCs/>
          <w:sz w:val="28"/>
          <w:szCs w:val="28"/>
          <w:lang w:val="tt-RU"/>
        </w:rPr>
        <w:t>«Спецнефтегазавтоматика» җаваплылыгы чикләнгән җәмгыятенең (ОГРН 1051629007605, ИНН 1657051980) мөрәҗәгатен карап тикшергәннән соң, Россия Федерациясе Шәһәр төзелеше кодексының 41, 43 статьялары</w:t>
      </w:r>
      <w:r>
        <w:rPr>
          <w:sz w:val="28"/>
          <w:szCs w:val="28"/>
          <w:lang w:val="tt-RU"/>
        </w:rPr>
        <w:t xml:space="preserve">, </w:t>
      </w:r>
      <w:r>
        <w:rPr>
          <w:bCs/>
          <w:sz w:val="28"/>
          <w:szCs w:val="28"/>
          <w:lang w:val="tt-RU"/>
        </w:rPr>
        <w:t>Россия Федерациясе Җир кодексының 11.7 статьясы, 39.28 статьясының        1 пунктының 2 пунктчасы, 39.29 статьясы, Шәһәр Советының 2024 елның     1 июлендәге 34/9 номерлы Карары белән расланган Татарстан Республикасы Яр Чаллы шәһәре муниципаль берәмлегенең Җирдән файдалану һәм төзелеш кагыйдәләре, 2025 елның 7 июлендәге җәмәгать тыңлаулары нәтиҗәләре буенча Яр Чаллы шәһәренең җирдән файдалану һәм төзелеш комиссиясенең 247 номерлы бәяләмәсе нигезендә</w:t>
      </w:r>
    </w:p>
    <w:p>
      <w:pPr>
        <w:pStyle w:val="Normal"/>
        <w:ind w:left="0" w:right="0" w:firstLine="709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</w:r>
    </w:p>
    <w:p>
      <w:pPr>
        <w:pStyle w:val="Normal"/>
        <w:jc w:val="center"/>
        <w:rPr/>
      </w:pPr>
      <w:r>
        <w:rPr>
          <w:sz w:val="28"/>
          <w:szCs w:val="28"/>
          <w:lang w:val="tt-RU"/>
        </w:rPr>
        <w:t>К А Р А Р   Б И Р Ә М</w:t>
      </w:r>
      <w:r>
        <w:rPr>
          <w:sz w:val="28"/>
          <w:szCs w:val="28"/>
        </w:rPr>
        <w:t>:</w:t>
      </w:r>
    </w:p>
    <w:p>
      <w:pPr>
        <w:pStyle w:val="Normal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</w:r>
    </w:p>
    <w:p>
      <w:pPr>
        <w:pStyle w:val="Normal"/>
        <w:ind w:left="0" w:right="0" w:firstLine="709"/>
        <w:jc w:val="both"/>
        <w:rPr/>
      </w:pPr>
      <w:r>
        <w:rPr>
          <w:sz w:val="28"/>
          <w:szCs w:val="28"/>
          <w:lang w:val="tt-RU"/>
        </w:rPr>
        <w:t xml:space="preserve">1. </w:t>
      </w:r>
      <w:r>
        <w:rPr>
          <w:bCs/>
          <w:sz w:val="28"/>
          <w:szCs w:val="28"/>
          <w:lang w:val="tt-RU"/>
        </w:rPr>
        <w:t>«Спецнефтегазавтоматика» ҖЧҖның шәхси</w:t>
      </w:r>
      <w:r>
        <w:rPr>
          <w:sz w:val="28"/>
          <w:szCs w:val="28"/>
          <w:lang w:val="tt-RU"/>
        </w:rPr>
        <w:t xml:space="preserve"> милкендәге, мәйданы 132833 кв.м (кадастр номеры 16:52:000000:5491) булган җир участогын һәм дәүләт милкендәге, </w:t>
      </w:r>
      <w:r>
        <w:rPr>
          <w:rFonts w:cs="Times New Roman"/>
          <w:b w:val="false"/>
          <w:bCs w:val="false"/>
          <w:iCs/>
          <w:sz w:val="26"/>
          <w:szCs w:val="26"/>
          <w:lang w:val="tt-RU"/>
        </w:rPr>
        <w:t>П-2 территориаль зонасында (әйләнә-тирә мохиткә аз йогынты ясаучы җитештерү предприятиеләре зонасы) урнашкан</w:t>
      </w:r>
      <w:r>
        <w:rPr>
          <w:sz w:val="28"/>
          <w:szCs w:val="28"/>
          <w:lang w:val="tt-RU"/>
        </w:rPr>
        <w:t xml:space="preserve"> җирләрне (кадастр кварталлары </w:t>
      </w:r>
      <w:r>
        <w:rPr>
          <w:sz w:val="28"/>
          <w:szCs w:val="28"/>
        </w:rPr>
        <w:t>16:52:</w:t>
      </w:r>
      <w:r>
        <w:rPr>
          <w:sz w:val="28"/>
          <w:szCs w:val="28"/>
          <w:lang w:val="tt-RU"/>
        </w:rPr>
        <w:t>090106 һәм 16:52:090107</w:t>
      </w:r>
      <w:r>
        <w:rPr>
          <w:sz w:val="28"/>
          <w:szCs w:val="28"/>
        </w:rPr>
        <w:t>)</w:t>
      </w:r>
      <w:r>
        <w:rPr>
          <w:sz w:val="28"/>
          <w:szCs w:val="28"/>
          <w:lang w:val="tt-RU"/>
        </w:rPr>
        <w:t xml:space="preserve"> яңадан бүлү нәтиҗәсендә, торак пункт җирләреннән, мәйданы 134332 кв.м булган җир участогын барлыкка китерү күздә тотылган </w:t>
      </w:r>
      <w:r>
        <w:rPr>
          <w:bCs/>
          <w:sz w:val="28"/>
          <w:szCs w:val="28"/>
          <w:lang w:val="tt-RU"/>
        </w:rPr>
        <w:t xml:space="preserve">Яр Чаллы шәһәре муниципаль берәмлегенең Үзәк районы территориясен Сәнәгать-коммуналь зонасының Резервный тыкрыгы буенча межалау проектын, </w:t>
      </w:r>
      <w:r>
        <w:rPr>
          <w:sz w:val="28"/>
          <w:szCs w:val="28"/>
          <w:lang w:val="tt-RU"/>
        </w:rPr>
        <w:t>кушымтада каралганча расларга.</w:t>
      </w:r>
    </w:p>
    <w:p>
      <w:pPr>
        <w:pStyle w:val="Normal"/>
        <w:ind w:left="0" w:right="0"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2. Әлеге карарның 1 пунктында күрсәтелгән, барлыкка килә торган җир участогына түбәндәге адресны бирергә: Россия Федерациясе, Татарстан Республикасы, Яр Чаллы шәһәре шәһәр округы, Яр Чаллы шәһәре, Резервный тыкрыгы, 32 нче җир участогы.</w:t>
      </w:r>
    </w:p>
    <w:p>
      <w:pPr>
        <w:pStyle w:val="Normal"/>
        <w:ind w:left="0" w:right="0" w:firstLine="709"/>
        <w:jc w:val="both"/>
        <w:rPr/>
      </w:pPr>
      <w:r>
        <w:rPr>
          <w:sz w:val="28"/>
          <w:szCs w:val="28"/>
          <w:lang w:val="tt-RU"/>
        </w:rPr>
        <w:t>3.</w:t>
      </w:r>
      <w:r>
        <w:rPr>
          <w:bCs/>
          <w:sz w:val="28"/>
          <w:szCs w:val="28"/>
          <w:lang w:val="tt-RU"/>
        </w:rPr>
        <w:t xml:space="preserve"> Башкарма комитетның архитектура, шәһәр төзелешен һәм торакны үстерү идарәсенә:</w:t>
      </w:r>
    </w:p>
    <w:p>
      <w:pPr>
        <w:pStyle w:val="Style11"/>
        <w:spacing w:lineRule="auto" w:line="276" w:before="0" w:after="0"/>
        <w:ind w:left="0" w:right="0" w:firstLine="709"/>
        <w:jc w:val="both"/>
        <w:rPr>
          <w:rFonts w:ascii="PT Astra Serif" w:hAnsi="PT Astra Serif" w:cs="PT Astra Serif"/>
          <w:bCs/>
          <w:sz w:val="28"/>
          <w:szCs w:val="28"/>
          <w:lang w:val="tt-RU"/>
        </w:rPr>
      </w:pPr>
      <w:r>
        <w:rPr>
          <w:rFonts w:cs="PT Astra Serif" w:ascii="PT Astra Serif" w:hAnsi="PT Astra Serif"/>
          <w:bCs/>
          <w:sz w:val="28"/>
          <w:szCs w:val="28"/>
          <w:lang w:val="tt-RU"/>
        </w:rPr>
        <w:t>1) әлеге карарны рәсми бастырып чыгаруны һәм «Интернет» челтәрендә Яр Чаллы шәһәренең рәсми сайтында урнаштыруны;</w:t>
      </w:r>
    </w:p>
    <w:p>
      <w:pPr>
        <w:pStyle w:val="Normal"/>
        <w:ind w:left="0" w:right="0" w:firstLine="709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2) әлеге карарның 1 пунктында күрсәтелгән, барлыкка килә торган җир участогына адрес бирүне һәм адрес турындагы мәгълүматны, законда билгеләнгән тәртиптә, дәүләт адреслар реестрында урнаштыруны;</w:t>
      </w:r>
    </w:p>
    <w:p>
      <w:pPr>
        <w:pStyle w:val="Normal"/>
        <w:ind w:left="0" w:right="-2" w:firstLine="709"/>
        <w:jc w:val="both"/>
        <w:rPr/>
      </w:pPr>
      <w:r>
        <w:rPr>
          <w:sz w:val="28"/>
          <w:szCs w:val="28"/>
          <w:lang w:val="tt-RU"/>
        </w:rPr>
        <w:t xml:space="preserve">3) </w:t>
      </w:r>
      <w:r>
        <w:rPr>
          <w:bCs/>
          <w:sz w:val="28"/>
          <w:szCs w:val="28"/>
          <w:lang w:val="tt-RU"/>
        </w:rPr>
        <w:t>әлеге карарны, кабул ителгән көннән башлап биш эш көненнән дә соңга калмыйча, ведомствоара электрон хезмәттәшлек тәртибендә, Бердәм дәүләт күчемсез милек реестрына җибәрүне тәэмин итәргә.</w:t>
      </w:r>
    </w:p>
    <w:p>
      <w:pPr>
        <w:pStyle w:val="Normal"/>
        <w:ind w:left="0" w:right="0" w:firstLine="708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4. Шәхси милектәге җир участогын һәм дәүләт милкендәге җирләрне яңадан бүлү турында килешү төзү әлеге карарның 1 пунктында күрсәтелгән, барлыкка килә торган җир участогын дәүләт кадастр исәбенә алу шартларында гамәлгә ашырыла.</w:t>
      </w:r>
    </w:p>
    <w:p>
      <w:pPr>
        <w:pStyle w:val="Normal"/>
        <w:ind w:left="0" w:right="0" w:firstLine="708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5. Әлеге карарның үтәлешен контрольдә тотуны Башкарма комитет Җитәкчесе урынбасары М.Ә. Фәттаховка йөкләргә.</w:t>
      </w:r>
    </w:p>
    <w:p>
      <w:pPr>
        <w:pStyle w:val="Normal"/>
        <w:jc w:val="both"/>
        <w:rPr>
          <w:b/>
          <w:bCs/>
          <w:sz w:val="28"/>
          <w:szCs w:val="28"/>
          <w:lang w:val="tt-RU"/>
        </w:rPr>
      </w:pPr>
      <w:r>
        <w:rPr>
          <w:b/>
          <w:bCs/>
          <w:sz w:val="28"/>
          <w:szCs w:val="28"/>
          <w:lang w:val="tt-RU"/>
        </w:rPr>
      </w:r>
    </w:p>
    <w:p>
      <w:pPr>
        <w:pStyle w:val="Normal"/>
        <w:jc w:val="both"/>
        <w:rPr>
          <w:b/>
          <w:bCs/>
          <w:sz w:val="28"/>
          <w:szCs w:val="28"/>
          <w:lang w:val="tt-RU"/>
        </w:rPr>
      </w:pPr>
      <w:r>
        <w:rPr>
          <w:b/>
          <w:bCs/>
          <w:sz w:val="28"/>
          <w:szCs w:val="28"/>
          <w:lang w:val="tt-RU"/>
        </w:rPr>
      </w:r>
    </w:p>
    <w:p>
      <w:pPr>
        <w:pStyle w:val="Normal"/>
        <w:jc w:val="both"/>
        <w:rPr>
          <w:b w:val="false"/>
          <w:bCs w:val="false"/>
          <w:sz w:val="28"/>
          <w:szCs w:val="28"/>
          <w:lang w:val="tt-RU"/>
        </w:rPr>
      </w:pPr>
      <w:r>
        <w:rPr>
          <w:b w:val="false"/>
          <w:bCs w:val="false"/>
          <w:sz w:val="28"/>
          <w:szCs w:val="28"/>
          <w:lang w:val="tt-RU"/>
        </w:rPr>
      </w:r>
    </w:p>
    <w:p>
      <w:pPr>
        <w:pStyle w:val="Normal"/>
        <w:jc w:val="both"/>
        <w:rPr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  <w:t>Башкарма комитет</w:t>
      </w:r>
    </w:p>
    <w:p>
      <w:pPr>
        <w:pStyle w:val="Normal"/>
        <w:jc w:val="both"/>
        <w:rPr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  <w:t>Җитәкчесе                                                                                          Ф.Ш. Салахов</w:t>
      </w:r>
    </w:p>
    <w:p>
      <w:pPr>
        <w:pStyle w:val="Normal"/>
        <w:jc w:val="center"/>
        <w:rPr>
          <w:b/>
          <w:i/>
          <w:i/>
          <w:sz w:val="28"/>
          <w:szCs w:val="28"/>
        </w:rPr>
      </w:pPr>
      <w:r>
        <w:rPr>
          <w:b/>
          <w:i/>
          <w:sz w:val="28"/>
          <w:szCs w:val="28"/>
        </w:rPr>
      </w:r>
    </w:p>
    <w:p>
      <w:pPr>
        <w:pStyle w:val="Normal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jc w:val="both"/>
        <w:rPr>
          <w:sz w:val="16"/>
          <w:szCs w:val="16"/>
          <w:lang w:val="en-US"/>
        </w:rPr>
      </w:pPr>
      <w:r>
        <w:rPr>
          <w:sz w:val="16"/>
          <w:szCs w:val="16"/>
          <w:lang w:val="en-US"/>
        </w:rPr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jc w:val="center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jc w:val="center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jc w:val="center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jc w:val="center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jc w:val="center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jc w:val="center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jc w:val="center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jc w:val="center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jc w:val="center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jc w:val="center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jc w:val="center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jc w:val="center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jc w:val="center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jc w:val="center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jc w:val="center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jc w:val="center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jc w:val="center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jc w:val="center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jc w:val="center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jc w:val="center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jc w:val="center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jc w:val="center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jc w:val="center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jc w:val="center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jc w:val="center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jc w:val="center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jc w:val="center"/>
        <w:rPr>
          <w:sz w:val="26"/>
          <w:szCs w:val="26"/>
        </w:rPr>
      </w:pPr>
      <w:r>
        <w:rPr>
          <w:sz w:val="26"/>
          <w:szCs w:val="26"/>
        </w:rPr>
        <w:t>Территорияне межалау проекты</w:t>
      </w:r>
    </w:p>
    <w:p>
      <w:pPr>
        <w:pStyle w:val="Normal"/>
        <w:jc w:val="center"/>
        <w:rPr>
          <w:sz w:val="26"/>
          <w:szCs w:val="26"/>
        </w:rPr>
      </w:pPr>
      <w:r>
        <w:rPr>
          <w:sz w:val="26"/>
          <w:szCs w:val="26"/>
        </w:rPr>
        <w:t>Координаталар каталогы</w:t>
      </w:r>
    </w:p>
    <w:p>
      <w:pPr>
        <w:pStyle w:val="Normal"/>
        <w:jc w:val="center"/>
        <w:rPr>
          <w:sz w:val="26"/>
          <w:szCs w:val="26"/>
        </w:rPr>
      </w:pPr>
      <w:r>
        <w:rPr>
          <w:sz w:val="26"/>
          <w:szCs w:val="26"/>
        </w:rPr>
      </w:r>
    </w:p>
    <w:tbl>
      <w:tblPr>
        <w:tblW w:w="9300" w:type="dxa"/>
        <w:jc w:val="left"/>
        <w:tblInd w:w="132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3057"/>
        <w:gridCol w:w="3183"/>
        <w:gridCol w:w="3060"/>
      </w:tblGrid>
      <w:tr>
        <w:trPr/>
        <w:tc>
          <w:tcPr>
            <w:tcW w:w="9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>
                <w:sz w:val="26"/>
                <w:szCs w:val="26"/>
              </w:rPr>
              <w:t>Җир участогының мәйданы – 134382 кв.м</w:t>
            </w:r>
          </w:p>
        </w:tc>
      </w:tr>
      <w:tr>
        <w:trPr/>
        <w:tc>
          <w:tcPr>
            <w:tcW w:w="30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Чикләрнең характерлы нокталарын билгеләү</w:t>
            </w:r>
          </w:p>
        </w:tc>
        <w:tc>
          <w:tcPr>
            <w:tcW w:w="62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координаталар, м (МСК-16)</w:t>
            </w:r>
          </w:p>
        </w:tc>
      </w:tr>
      <w:tr>
        <w:trPr>
          <w:trHeight w:val="312" w:hRule="atLeast"/>
        </w:trPr>
        <w:tc>
          <w:tcPr>
            <w:tcW w:w="305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х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  <w:lang w:val="en-US"/>
              </w:rPr>
              <w:t>y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н1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467024,62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2326298,75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н2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467003,77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2326317,70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н3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466974,80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2326344,60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н4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466939,33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2326376,99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н5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466898,52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2326413,33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н6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466863,58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2326445,54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н7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466827,45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2326477,55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н8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466818,58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2326485,72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н9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466813,41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2326489,32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н10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466782,94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2326457,98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н11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466777,32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2326453,43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н12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466751,52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2326427,45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н13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466724,92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2326399,23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н14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466690,72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2326363,37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н15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466651,20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2326322,15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н16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466616,72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2326287,45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н17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466600,38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2326270,74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н18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466577,06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2326246,98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н19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466521,02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2326189,53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н20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466501,16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2326169,11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н21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466544,94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2326126,53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н22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466495,78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2326081,31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н23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466454,15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2326043,01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н24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466431,35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2326039,25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н25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466426,82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2326043,59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н26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466427,63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2326049,68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н27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466432,19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2326064,36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н28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466439,64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2326088,31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н29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466440,11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2326089,84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н30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466424,18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2326073,56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н31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466333,03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2325980,45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н32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466341,46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2325972,25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н33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466335,48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2325966,21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н34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466332,36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2325962,35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1320" w:leader="none"/>
                <w:tab w:val="center" w:pos="1487" w:leader="none"/>
              </w:tabs>
              <w:rPr/>
            </w:pPr>
            <w:r>
              <w:rPr>
                <w:sz w:val="26"/>
                <w:szCs w:val="26"/>
              </w:rPr>
              <w:tab/>
              <w:t>н</w:t>
              <w:tab/>
              <w:t>35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466328,84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2325956,69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н36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466326,42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2325949,81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1280" w:leader="none"/>
                <w:tab w:val="center" w:pos="1487" w:leader="none"/>
              </w:tabs>
              <w:rPr/>
            </w:pPr>
            <w:r>
              <w:rPr>
                <w:sz w:val="26"/>
                <w:szCs w:val="26"/>
              </w:rPr>
              <w:tab/>
              <w:t>н</w:t>
              <w:tab/>
              <w:t>37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466326,06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2325944,70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н38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466326,93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2325939,37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н39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466328,31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2325934,18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н40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466321,26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2325932,74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н41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466312,25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2325930,89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н42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466299,73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2325928,61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н43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466287,81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2325926,44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н44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466272,61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2325923,23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н45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466263,00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2325919,96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н46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466244,94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2325911,16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н47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466226,26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2325898,07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н48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466224,96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2325896,73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н49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466207,66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2325878,81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н50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466204,71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2325875,70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1240" w:leader="none"/>
                <w:tab w:val="center" w:pos="1487" w:leader="none"/>
              </w:tabs>
              <w:rPr/>
            </w:pPr>
            <w:r>
              <w:rPr>
                <w:sz w:val="26"/>
                <w:szCs w:val="26"/>
              </w:rPr>
              <w:tab/>
              <w:t xml:space="preserve"> н</w:t>
              <w:tab/>
              <w:t>51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466205,07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2325875,36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н52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466206,23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2325874,31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н53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466206,59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2325873,96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н54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466209,53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2325877,01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н55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466219,82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2325886,87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н56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466228,04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2325893,34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н57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466229,63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2325894,64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н58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466238,10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2325899,55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н59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466251,64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2325907,72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н60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466265,38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2325914,01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н61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466277,14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2325917,63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н62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466288,74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2325920,44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н63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466308,85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2325924,69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н64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466316,87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2325926,39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н65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466377,14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2325937,49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н66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466408,72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2325943,30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н67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466439,62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2325949,22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н68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466456,83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2325952,84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н69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466472,05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2325956,86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н70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466483,29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2325959,87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н71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466491,59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2325962,95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н72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466503,08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2325968,37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н73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466513,89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2325974,88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н74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466529,47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2325985,55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н75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466531,66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2325987,50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н76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466539,30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2325992,60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н77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466542,27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2325994,57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н78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466569,55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2325992,53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н79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466722,11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2326150,38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н80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466770,24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2326103,31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н81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466766,80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2326099,77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н82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466798,88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2326068,60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н83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466718,14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2325985,49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н84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466706,65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2325996,64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н85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466690,95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2325980,47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н86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466713,70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2325978,06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н87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466756,49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2326022,01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н88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466774,28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2326040,22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н89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466804,87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2326071,66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н90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466834,87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2326102,57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н91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466865,79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2326134,53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н92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466896,81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2326166,38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н93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466927,84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2326198,47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н94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466959,00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2326230,53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н95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466990,97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2326263,73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н96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466999,33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2326272,43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н1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467024,62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2326298,75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н97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466465,68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2325975,83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н98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466478,32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2325978,25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н99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466485,23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2325980,92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н100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466492,14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2325983,93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н101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466499,26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2325987,66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н102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466504,50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2325990,86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н103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466509,98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2325994,50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н104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466513,24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2325997,07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н105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466517,92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2326000,90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н106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466526,50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2326008,99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н107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466545,82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2326028,42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н108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466568,97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2326053,06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н109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466580,01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2326064,01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н110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466590,55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2326074,51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н111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466594,42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2326078,41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н112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466575,62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2326096,70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н113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466556,82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2326114,98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н114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466454,85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2326015,18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н115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466463,93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2326006,13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н116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466449,54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2325997,85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н97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466465,68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6"/>
                <w:szCs w:val="26"/>
              </w:rPr>
              <w:t>2325975,83</w:t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</w:tc>
      </w:tr>
      <w:tr>
        <w:trPr/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</w:tc>
      </w:tr>
    </w:tbl>
    <w:sectPr>
      <w:headerReference w:type="default" r:id="rId2"/>
      <w:headerReference w:type="first" r:id="rId3"/>
      <w:footerReference w:type="first" r:id="rId4"/>
      <w:type w:val="nextPage"/>
      <w:pgSz w:w="11906" w:h="16838"/>
      <w:pgMar w:left="1701" w:right="850" w:gutter="0" w:header="567" w:top="1134" w:footer="709" w:bottom="1134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default"/>
  </w:font>
  <w:font w:name="Arial">
    <w:charset w:val="01"/>
    <w:family w:val="roman"/>
    <w:pitch w:val="default"/>
  </w:font>
  <w:font w:name="PT Astra Serif">
    <w:charset w:val="01"/>
    <w:family w:val="roman"/>
    <w:pitch w:val="default"/>
  </w:font>
  <w:font w:name="Tahoma">
    <w:charset w:val="01"/>
    <w:family w:val="roman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19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18"/>
      <w:jc w:val="center"/>
      <w:rPr>
        <w:sz w:val="16"/>
        <w:szCs w:val="16"/>
      </w:rPr>
    </w:pP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>
      <w:rPr>
        <w:sz w:val="16"/>
        <w:szCs w:val="16"/>
      </w:rPr>
      <w:t>5</w:t>
    </w:r>
    <w:r>
      <w:rPr>
        <w:sz w:val="16"/>
        <w:szCs w:val="16"/>
      </w:rPr>
      <w:fldChar w:fldCharType="end"/>
    </w:r>
  </w:p>
  <w:p>
    <w:pPr>
      <w:pStyle w:val="Style18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18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8"/>
  <w:autoHyphenation w:val="true"/>
  <w:compat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ahoma" w:cs="Noto Sans Devanagari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0"/>
      <w:lang w:val="ru-RU" w:eastAsia="zh-CN" w:bidi="ar-SA"/>
    </w:rPr>
  </w:style>
  <w:style w:type="paragraph" w:styleId="1">
    <w:name w:val="Heading 1"/>
    <w:basedOn w:val="Normal"/>
    <w:uiPriority w:val="9"/>
    <w:qFormat/>
    <w:pPr>
      <w:keepNext w:val="true"/>
      <w:keepLines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paragraph" w:styleId="2">
    <w:name w:val="Heading 2"/>
    <w:basedOn w:val="Normal"/>
    <w:uiPriority w:val="9"/>
    <w:unhideWhenUsed/>
    <w:qFormat/>
    <w:pPr>
      <w:keepNext w:val="true"/>
      <w:keepLines/>
      <w:spacing w:before="360" w:after="200"/>
      <w:outlineLvl w:val="1"/>
    </w:pPr>
    <w:rPr>
      <w:rFonts w:ascii="Arial" w:hAnsi="Arial" w:eastAsia="Arial" w:cs="Arial"/>
      <w:sz w:val="34"/>
    </w:rPr>
  </w:style>
  <w:style w:type="paragraph" w:styleId="3">
    <w:name w:val="Heading 3"/>
    <w:basedOn w:val="Normal"/>
    <w:uiPriority w:val="9"/>
    <w:unhideWhenUsed/>
    <w:qFormat/>
    <w:pPr>
      <w:keepNext w:val="true"/>
      <w:keepLines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paragraph" w:styleId="4">
    <w:name w:val="Heading 4"/>
    <w:basedOn w:val="Normal"/>
    <w:uiPriority w:val="9"/>
    <w:unhideWhenUsed/>
    <w:qFormat/>
    <w:pPr>
      <w:keepNext w:val="true"/>
      <w:keepLines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paragraph" w:styleId="5">
    <w:name w:val="Heading 5"/>
    <w:basedOn w:val="Normal"/>
    <w:uiPriority w:val="9"/>
    <w:unhideWhenUsed/>
    <w:qFormat/>
    <w:pPr>
      <w:keepNext w:val="true"/>
      <w:keepLines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paragraph" w:styleId="6">
    <w:name w:val="Heading 6"/>
    <w:basedOn w:val="Normal"/>
    <w:uiPriority w:val="9"/>
    <w:unhideWhenUsed/>
    <w:qFormat/>
    <w:pPr>
      <w:keepNext w:val="true"/>
      <w:keepLines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paragraph" w:styleId="7">
    <w:name w:val="Heading 7"/>
    <w:basedOn w:val="Normal"/>
    <w:uiPriority w:val="9"/>
    <w:unhideWhenUsed/>
    <w:qFormat/>
    <w:pPr>
      <w:keepNext w:val="true"/>
      <w:keepLines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8">
    <w:name w:val="Heading 8"/>
    <w:basedOn w:val="Normal"/>
    <w:uiPriority w:val="9"/>
    <w:unhideWhenUsed/>
    <w:qFormat/>
    <w:pPr>
      <w:keepNext w:val="true"/>
      <w:keepLines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paragraph" w:styleId="9">
    <w:name w:val="Heading 9"/>
    <w:basedOn w:val="Normal"/>
    <w:uiPriority w:val="9"/>
    <w:unhideWhenUsed/>
    <w:qFormat/>
    <w:pPr>
      <w:keepNext w:val="true"/>
      <w:keepLines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Heading1Char">
    <w:name w:val="Heading 1 Char"/>
    <w:uiPriority w:val="9"/>
    <w:qFormat/>
    <w:rPr>
      <w:rFonts w:ascii="Arial" w:hAnsi="Arial" w:eastAsia="Arial" w:cs="Arial"/>
      <w:sz w:val="40"/>
      <w:szCs w:val="40"/>
    </w:rPr>
  </w:style>
  <w:style w:type="character" w:styleId="Heading2Char">
    <w:name w:val="Heading 2 Char"/>
    <w:uiPriority w:val="9"/>
    <w:qFormat/>
    <w:rPr>
      <w:rFonts w:ascii="Arial" w:hAnsi="Arial" w:eastAsia="Arial" w:cs="Arial"/>
      <w:sz w:val="34"/>
    </w:rPr>
  </w:style>
  <w:style w:type="character" w:styleId="Heading3Char">
    <w:name w:val="Heading 3 Char"/>
    <w:uiPriority w:val="9"/>
    <w:qFormat/>
    <w:rPr>
      <w:rFonts w:ascii="Arial" w:hAnsi="Arial" w:eastAsia="Arial" w:cs="Arial"/>
      <w:sz w:val="30"/>
      <w:szCs w:val="30"/>
    </w:rPr>
  </w:style>
  <w:style w:type="character" w:styleId="Heading4Char">
    <w:name w:val="Heading 4 Char"/>
    <w:uiPriority w:val="9"/>
    <w:qFormat/>
    <w:rPr>
      <w:rFonts w:ascii="Arial" w:hAnsi="Arial" w:eastAsia="Arial" w:cs="Arial"/>
      <w:b/>
      <w:bCs/>
      <w:sz w:val="26"/>
      <w:szCs w:val="26"/>
    </w:rPr>
  </w:style>
  <w:style w:type="character" w:styleId="Heading5Char">
    <w:name w:val="Heading 5 Char"/>
    <w:uiPriority w:val="9"/>
    <w:qFormat/>
    <w:rPr>
      <w:rFonts w:ascii="Arial" w:hAnsi="Arial" w:eastAsia="Arial" w:cs="Arial"/>
      <w:b/>
      <w:bCs/>
      <w:sz w:val="24"/>
      <w:szCs w:val="24"/>
    </w:rPr>
  </w:style>
  <w:style w:type="character" w:styleId="Heading6Char">
    <w:name w:val="Heading 6 Char"/>
    <w:uiPriority w:val="9"/>
    <w:qFormat/>
    <w:rPr>
      <w:rFonts w:ascii="Arial" w:hAnsi="Arial" w:eastAsia="Arial" w:cs="Arial"/>
      <w:b/>
      <w:bCs/>
      <w:sz w:val="22"/>
      <w:szCs w:val="22"/>
    </w:rPr>
  </w:style>
  <w:style w:type="character" w:styleId="Heading7Char">
    <w:name w:val="Heading 7 Char"/>
    <w:uiPriority w:val="9"/>
    <w:qFormat/>
    <w:rPr>
      <w:rFonts w:ascii="Arial" w:hAnsi="Arial" w:eastAsia="Arial" w:cs="Arial"/>
      <w:b/>
      <w:bCs/>
      <w:i/>
      <w:iCs/>
      <w:sz w:val="22"/>
      <w:szCs w:val="22"/>
    </w:rPr>
  </w:style>
  <w:style w:type="character" w:styleId="Heading8Char">
    <w:name w:val="Heading 8 Char"/>
    <w:uiPriority w:val="9"/>
    <w:qFormat/>
    <w:rPr>
      <w:rFonts w:ascii="Arial" w:hAnsi="Arial" w:eastAsia="Arial" w:cs="Arial"/>
      <w:i/>
      <w:iCs/>
      <w:sz w:val="22"/>
      <w:szCs w:val="22"/>
    </w:rPr>
  </w:style>
  <w:style w:type="character" w:styleId="Heading9Char">
    <w:name w:val="Heading 9 Char"/>
    <w:uiPriority w:val="9"/>
    <w:qFormat/>
    <w:rPr>
      <w:rFonts w:ascii="Arial" w:hAnsi="Arial" w:eastAsia="Arial" w:cs="Arial"/>
      <w:i/>
      <w:iCs/>
      <w:sz w:val="21"/>
      <w:szCs w:val="21"/>
    </w:rPr>
  </w:style>
  <w:style w:type="character" w:styleId="TitleChar">
    <w:name w:val="Title Char"/>
    <w:uiPriority w:val="10"/>
    <w:qFormat/>
    <w:rPr>
      <w:sz w:val="48"/>
      <w:szCs w:val="48"/>
    </w:rPr>
  </w:style>
  <w:style w:type="character" w:styleId="SubtitleChar">
    <w:name w:val="Subtitle Char"/>
    <w:uiPriority w:val="11"/>
    <w:qFormat/>
    <w:rPr>
      <w:sz w:val="24"/>
      <w:szCs w:val="24"/>
    </w:rPr>
  </w:style>
  <w:style w:type="character" w:styleId="QuoteChar">
    <w:name w:val="Quote Char"/>
    <w:uiPriority w:val="29"/>
    <w:qFormat/>
    <w:rPr>
      <w:i/>
    </w:rPr>
  </w:style>
  <w:style w:type="character" w:styleId="IntenseQuoteChar">
    <w:name w:val="Intense Quote Char"/>
    <w:uiPriority w:val="30"/>
    <w:qFormat/>
    <w:rPr>
      <w:i/>
    </w:rPr>
  </w:style>
  <w:style w:type="character" w:styleId="HeaderChar">
    <w:name w:val="Header Char"/>
    <w:uiPriority w:val="99"/>
    <w:qFormat/>
    <w:rPr/>
  </w:style>
  <w:style w:type="character" w:styleId="FooterChar">
    <w:name w:val="Footer Char"/>
    <w:uiPriority w:val="99"/>
    <w:qFormat/>
    <w:rPr/>
  </w:style>
  <w:style w:type="character" w:styleId="CaptionChar">
    <w:name w:val="Caption Char"/>
    <w:uiPriority w:val="99"/>
    <w:qFormat/>
    <w:rPr/>
  </w:style>
  <w:style w:type="character" w:styleId="-">
    <w:name w:val="Hyperlink"/>
    <w:uiPriority w:val="99"/>
    <w:unhideWhenUsed/>
    <w:rPr>
      <w:color w:val="0000FF" w:themeColor="hyperlink"/>
      <w:u w:val="single"/>
    </w:rPr>
  </w:style>
  <w:style w:type="character" w:styleId="FootnoteTextChar">
    <w:name w:val="Footnote Text Char"/>
    <w:uiPriority w:val="99"/>
    <w:qFormat/>
    <w:rPr>
      <w:sz w:val="18"/>
    </w:rPr>
  </w:style>
  <w:style w:type="character" w:styleId="Style5">
    <w:name w:val="Символ сноски"/>
    <w:uiPriority w:val="99"/>
    <w:unhideWhenUsed/>
    <w:qFormat/>
    <w:rPr>
      <w:vertAlign w:val="superscript"/>
    </w:rPr>
  </w:style>
  <w:style w:type="character" w:styleId="Style6">
    <w:name w:val="Footnote Reference"/>
    <w:rPr>
      <w:vertAlign w:val="superscript"/>
    </w:rPr>
  </w:style>
  <w:style w:type="character" w:styleId="EndnoteTextChar">
    <w:name w:val="Endnote Text Char"/>
    <w:uiPriority w:val="99"/>
    <w:qFormat/>
    <w:rPr>
      <w:sz w:val="20"/>
    </w:rPr>
  </w:style>
  <w:style w:type="character" w:styleId="Style7">
    <w:name w:val="Символ концевой сноски"/>
    <w:uiPriority w:val="99"/>
    <w:semiHidden/>
    <w:unhideWhenUsed/>
    <w:qFormat/>
    <w:rPr>
      <w:vertAlign w:val="superscript"/>
    </w:rPr>
  </w:style>
  <w:style w:type="character" w:styleId="Style8">
    <w:name w:val="Endnote Reference"/>
    <w:rPr>
      <w:vertAlign w:val="superscript"/>
    </w:rPr>
  </w:style>
  <w:style w:type="character" w:styleId="Style9">
    <w:name w:val="Основной шрифт абзаца"/>
    <w:qFormat/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0">
    <w:name w:val="Заголовок"/>
    <w:basedOn w:val="Normal"/>
    <w:next w:val="Style11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1">
    <w:name w:val="Body Text"/>
    <w:basedOn w:val="Normal"/>
    <w:pPr>
      <w:spacing w:lineRule="auto" w:line="276" w:before="0" w:after="140"/>
    </w:pPr>
    <w:rPr/>
  </w:style>
  <w:style w:type="paragraph" w:styleId="Style12">
    <w:name w:val="List"/>
    <w:basedOn w:val="Style11"/>
    <w:pPr/>
    <w:rPr>
      <w:rFonts w:ascii="PT Astra Serif" w:hAnsi="PT Astra Serif" w:cs="Noto Sans Devanagari"/>
    </w:rPr>
  </w:style>
  <w:style w:type="paragraph" w:styleId="Style13">
    <w:name w:val="Caption"/>
    <w:basedOn w:val="Normal"/>
    <w:uiPriority w:val="35"/>
    <w:semiHidden/>
    <w:unhideWhenUsed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4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pPr>
      <w:spacing w:before="0" w:after="0"/>
      <w:ind w:left="720" w:hanging="0"/>
      <w:contextualSpacing/>
    </w:pPr>
    <w:rPr/>
  </w:style>
  <w:style w:type="paragraph" w:styleId="NoSpacing">
    <w:name w:val="No Spacing"/>
    <w:uiPriority w:val="1"/>
    <w:qFormat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ahoma" w:cs="Noto Sans Devanagari"/>
      <w:color w:val="auto"/>
      <w:kern w:val="0"/>
      <w:sz w:val="20"/>
      <w:szCs w:val="20"/>
      <w:lang w:val="ru-RU" w:eastAsia="zh-CN" w:bidi="hi-IN"/>
    </w:rPr>
  </w:style>
  <w:style w:type="paragraph" w:styleId="Style15">
    <w:name w:val="Title"/>
    <w:basedOn w:val="Normal"/>
    <w:uiPriority w:val="10"/>
    <w:qFormat/>
    <w:pPr>
      <w:spacing w:before="300" w:after="200"/>
      <w:contextualSpacing/>
    </w:pPr>
    <w:rPr>
      <w:sz w:val="48"/>
      <w:szCs w:val="48"/>
    </w:rPr>
  </w:style>
  <w:style w:type="paragraph" w:styleId="Style16">
    <w:name w:val="Subtitle"/>
    <w:basedOn w:val="Normal"/>
    <w:uiPriority w:val="11"/>
    <w:qFormat/>
    <w:pPr>
      <w:spacing w:before="200" w:after="200"/>
    </w:pPr>
    <w:rPr>
      <w:sz w:val="24"/>
      <w:szCs w:val="24"/>
    </w:rPr>
  </w:style>
  <w:style w:type="paragraph" w:styleId="Quote">
    <w:name w:val="Quote"/>
    <w:basedOn w:val="Normal"/>
    <w:uiPriority w:val="29"/>
    <w:qFormat/>
    <w:pPr>
      <w:ind w:left="720" w:right="720" w:hanging="0"/>
    </w:pPr>
    <w:rPr>
      <w:i/>
    </w:rPr>
  </w:style>
  <w:style w:type="paragraph" w:styleId="IntenseQuote">
    <w:name w:val="Intense Quote"/>
    <w:basedOn w:val="Normal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spacing w:before="0" w:after="0"/>
      <w:ind w:left="720" w:right="720" w:hanging="0"/>
    </w:pPr>
    <w:rPr>
      <w:i/>
    </w:rPr>
  </w:style>
  <w:style w:type="paragraph" w:styleId="Style17">
    <w:name w:val="Колонтитул"/>
    <w:basedOn w:val="Normal"/>
    <w:qFormat/>
    <w:pPr/>
    <w:rPr/>
  </w:style>
  <w:style w:type="paragraph" w:styleId="Style18">
    <w:name w:val="Header"/>
    <w:basedOn w:val="Normal"/>
    <w:uiPriority w:val="99"/>
    <w:unhideWhenUsed/>
    <w:pPr>
      <w:tabs>
        <w:tab w:val="clear" w:pos="708"/>
        <w:tab w:val="center" w:pos="7143" w:leader="none"/>
        <w:tab w:val="right" w:pos="14287" w:leader="none"/>
      </w:tabs>
      <w:spacing w:lineRule="auto" w:line="240" w:before="0" w:after="0"/>
    </w:pPr>
    <w:rPr/>
  </w:style>
  <w:style w:type="paragraph" w:styleId="Style19">
    <w:name w:val="Footer"/>
    <w:basedOn w:val="Normal"/>
    <w:uiPriority w:val="99"/>
    <w:unhideWhenUsed/>
    <w:pPr>
      <w:tabs>
        <w:tab w:val="clear" w:pos="708"/>
        <w:tab w:val="center" w:pos="7143" w:leader="none"/>
        <w:tab w:val="right" w:pos="14287" w:leader="none"/>
      </w:tabs>
      <w:spacing w:lineRule="auto" w:line="240" w:before="0" w:after="0"/>
    </w:pPr>
    <w:rPr/>
  </w:style>
  <w:style w:type="paragraph" w:styleId="Style20">
    <w:name w:val="Footnote Text"/>
    <w:basedOn w:val="Normal"/>
    <w:uiPriority w:val="99"/>
    <w:semiHidden/>
    <w:unhideWhenUsed/>
    <w:pPr>
      <w:spacing w:lineRule="auto" w:line="240" w:before="0" w:after="40"/>
    </w:pPr>
    <w:rPr>
      <w:sz w:val="18"/>
    </w:rPr>
  </w:style>
  <w:style w:type="paragraph" w:styleId="Style21">
    <w:name w:val="Endnote Text"/>
    <w:basedOn w:val="Normal"/>
    <w:uiPriority w:val="99"/>
    <w:semiHidden/>
    <w:unhideWhenUsed/>
    <w:pPr>
      <w:spacing w:lineRule="auto" w:line="240" w:before="0" w:after="0"/>
    </w:pPr>
    <w:rPr>
      <w:sz w:val="20"/>
    </w:rPr>
  </w:style>
  <w:style w:type="paragraph" w:styleId="11">
    <w:name w:val="TOC 1"/>
    <w:basedOn w:val="Normal"/>
    <w:uiPriority w:val="39"/>
    <w:unhideWhenUsed/>
    <w:pPr>
      <w:spacing w:before="0" w:after="57"/>
      <w:ind w:left="0" w:right="0" w:hanging="0"/>
    </w:pPr>
    <w:rPr/>
  </w:style>
  <w:style w:type="paragraph" w:styleId="21">
    <w:name w:val="TOC 2"/>
    <w:basedOn w:val="Normal"/>
    <w:uiPriority w:val="39"/>
    <w:unhideWhenUsed/>
    <w:pPr>
      <w:spacing w:before="0" w:after="57"/>
      <w:ind w:left="283" w:right="0" w:hanging="0"/>
    </w:pPr>
    <w:rPr/>
  </w:style>
  <w:style w:type="paragraph" w:styleId="31">
    <w:name w:val="TOC 3"/>
    <w:basedOn w:val="Normal"/>
    <w:uiPriority w:val="39"/>
    <w:unhideWhenUsed/>
    <w:pPr>
      <w:spacing w:before="0" w:after="57"/>
      <w:ind w:left="567" w:right="0" w:hanging="0"/>
    </w:pPr>
    <w:rPr/>
  </w:style>
  <w:style w:type="paragraph" w:styleId="41">
    <w:name w:val="TOC 4"/>
    <w:basedOn w:val="Normal"/>
    <w:uiPriority w:val="39"/>
    <w:unhideWhenUsed/>
    <w:pPr>
      <w:spacing w:before="0" w:after="57"/>
      <w:ind w:left="850" w:right="0" w:hanging="0"/>
    </w:pPr>
    <w:rPr/>
  </w:style>
  <w:style w:type="paragraph" w:styleId="51">
    <w:name w:val="TOC 5"/>
    <w:basedOn w:val="Normal"/>
    <w:uiPriority w:val="39"/>
    <w:unhideWhenUsed/>
    <w:pPr>
      <w:spacing w:before="0" w:after="57"/>
      <w:ind w:left="1134" w:right="0" w:hanging="0"/>
    </w:pPr>
    <w:rPr/>
  </w:style>
  <w:style w:type="paragraph" w:styleId="61">
    <w:name w:val="TOC 6"/>
    <w:basedOn w:val="Normal"/>
    <w:uiPriority w:val="39"/>
    <w:unhideWhenUsed/>
    <w:pPr>
      <w:spacing w:before="0" w:after="57"/>
      <w:ind w:left="1417" w:right="0" w:hanging="0"/>
    </w:pPr>
    <w:rPr/>
  </w:style>
  <w:style w:type="paragraph" w:styleId="71">
    <w:name w:val="TOC 7"/>
    <w:basedOn w:val="Normal"/>
    <w:uiPriority w:val="39"/>
    <w:unhideWhenUsed/>
    <w:pPr>
      <w:spacing w:before="0" w:after="57"/>
      <w:ind w:left="1701" w:right="0" w:hanging="0"/>
    </w:pPr>
    <w:rPr/>
  </w:style>
  <w:style w:type="paragraph" w:styleId="81">
    <w:name w:val="TOC 8"/>
    <w:basedOn w:val="Normal"/>
    <w:uiPriority w:val="39"/>
    <w:unhideWhenUsed/>
    <w:pPr>
      <w:spacing w:before="0" w:after="57"/>
      <w:ind w:left="1984" w:right="0" w:hanging="0"/>
    </w:pPr>
    <w:rPr/>
  </w:style>
  <w:style w:type="paragraph" w:styleId="91">
    <w:name w:val="TOC 9"/>
    <w:basedOn w:val="Normal"/>
    <w:uiPriority w:val="39"/>
    <w:unhideWhenUsed/>
    <w:pPr>
      <w:spacing w:before="0" w:after="57"/>
      <w:ind w:left="2268" w:right="0" w:hanging="0"/>
    </w:pPr>
    <w:rPr/>
  </w:style>
  <w:style w:type="paragraph" w:styleId="Style22">
    <w:name w:val="Index Heading"/>
    <w:basedOn w:val="Style10"/>
    <w:pPr/>
    <w:rPr/>
  </w:style>
  <w:style w:type="paragraph" w:styleId="Style23">
    <w:name w:val="TOC Heading"/>
    <w:uiPriority w:val="39"/>
    <w:unhideWhenUsed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auto"/>
      <w:kern w:val="0"/>
      <w:sz w:val="20"/>
      <w:szCs w:val="20"/>
      <w:lang w:val="ru-RU" w:eastAsia="zh-CN" w:bidi="hi-IN"/>
    </w:rPr>
  </w:style>
  <w:style w:type="paragraph" w:styleId="Tableoffigures">
    <w:name w:val="table of figures"/>
    <w:basedOn w:val="Normal"/>
    <w:uiPriority w:val="99"/>
    <w:unhideWhenUsed/>
    <w:qFormat/>
    <w:pPr>
      <w:spacing w:before="0" w:afterAutospacing="0" w:after="0"/>
    </w:pPr>
    <w:rPr/>
  </w:style>
  <w:style w:type="paragraph" w:styleId="BalloonText">
    <w:name w:val="Balloon Text"/>
    <w:basedOn w:val="Normal"/>
    <w:qFormat/>
    <w:pPr/>
    <w:rPr>
      <w:rFonts w:ascii="Tahoma" w:hAnsi="Tahoma" w:cs="Tahoma"/>
      <w:sz w:val="16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Application>LibreOffice/7.5.6.2$Linux_X86_64 LibreOffice_project/50$Build-2</Application>
  <AppVersion>15.0000</AppVersion>
  <Pages>5</Pages>
  <Words>715</Words>
  <Characters>5106</Characters>
  <CharactersWithSpaces>5547</CharactersWithSpaces>
  <Paragraphs>384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2021-10-06T10:56:00Z</dcterms:created>
  <dc:creator>Tanya</dc:creator>
  <dc:description/>
  <dc:language>ru-RU</dc:language>
  <cp:lastModifiedBy/>
  <cp:lastPrinted>2025-08-06T09:49:19Z</cp:lastPrinted>
  <dcterms:modified xsi:type="dcterms:W3CDTF">2025-08-06T09:49:54Z</dcterms:modified>
  <cp:revision>45</cp:revision>
  <dc:subject/>
  <dc:title>Республика Татарстан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